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-2962275</wp:posOffset>
            </wp:positionV>
            <wp:extent cx="7139305" cy="2988310"/>
            <wp:effectExtent l="0" t="0" r="4445" b="2540"/>
            <wp:wrapNone/>
            <wp:docPr id="5" name="图片 5" descr="微信图片_20200810144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8101446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930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eastAsia="zh-CN"/>
        </w:rPr>
        <w:t>关于组织大社会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val="en-US" w:eastAsia="zh-CN"/>
        </w:rPr>
        <w:t>·大公益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eastAsia="zh-CN"/>
        </w:rPr>
        <w:t>“食品安全科普知识进社区”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val="en-US" w:eastAsia="zh-CN"/>
        </w:rPr>
        <w:t>公益活动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各食安委成员单位：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为贯彻落实党中央关于做好“六稳”工作、落实“六保”任务的决策部署，提高市民生活幸福指数，提升全民食品安全意识，满足市民多元化消费需求，推动城市夜经济发展，结合“双节”临近，经研究决定，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组织大社会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·大公益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“食品安全科普知识进社区”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公益活动，方案如下：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时间：20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16:00</w:t>
      </w:r>
      <w:r>
        <w:rPr>
          <w:rFonts w:hint="eastAsia" w:ascii="黑体" w:hAnsi="黑体" w:eastAsia="黑体" w:cs="黑体"/>
          <w:sz w:val="32"/>
          <w:szCs w:val="32"/>
        </w:rPr>
        <w:t>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21:00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天桥区尚品清河一区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二、指导单位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山东省市场监督管理局；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山东省工业和信息化厅。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主办单位：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</w:rPr>
        <w:t>省社会组织总会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eastAsia="zh-CN"/>
        </w:rPr>
        <w:t>山东省消费者协会；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山东省肉类协会。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承办单位：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FF000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</w:rPr>
        <w:t>省社会组织总会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eastAsia="zh-CN"/>
        </w:rPr>
        <w:t>食品安全工作专业委员会；</w:t>
      </w:r>
      <w:r>
        <w:rPr>
          <w:rFonts w:hint="eastAsia" w:ascii="华文仿宋" w:hAnsi="华文仿宋" w:eastAsia="华文仿宋" w:cs="华文仿宋"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sectPr>
          <w:pgSz w:w="11906" w:h="16838"/>
          <w:pgMar w:top="5556" w:right="1417" w:bottom="113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山东安食企业管理有限公司；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济南市天桥区泺口街道尚品清河居委会；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山东食源安信息咨询有限公司。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五、协办单位：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山东省火锅餐饮协会；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山东省齐鲁膳艺餐饮研究院；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u w:val="none"/>
          <w:lang w:val="en-US" w:eastAsia="zh-CN"/>
        </w:rPr>
        <w:t>山东省蜂业协会；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highlight w:val="none"/>
          <w:lang w:val="en-US" w:eastAsia="zh-CN"/>
        </w:rPr>
        <w:t>北大资源物业山东分公司。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六、参与企业：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临沂新程金锣肉制品集团有限公司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济南维尔康实业集团有限公司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济南黄老泰食品有限公司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济南彦盛彦烂豆花火锅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山东全亿佰食品有限公司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山东如康清真食品有限公司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济南念古香食品有限公司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山东毕氏食品有限公司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云侠餐饮管理有限公司（云侠客|云侠龙虾）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枣庄市海石花蜂业有限公司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中农农业发展（山东）有限公司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济南德利源农业科技有限公司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七、相关媒体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color w:val="FF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6" w:leftChars="2584" w:hanging="960" w:hangingChars="3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山东省社会组织总会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both"/>
        <w:textAlignment w:val="auto"/>
        <w:outlineLvl w:val="9"/>
        <w:rPr>
          <w:rFonts w:hint="eastAsia"/>
          <w:lang w:val="en-US" w:eastAsia="zh-CN"/>
        </w:rPr>
        <w:sectPr>
          <w:pgSz w:w="11906" w:h="16838"/>
          <w:pgMar w:top="1429" w:right="1417" w:bottom="113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2020年8月13日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29" w:right="141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7803"/>
    <w:rsid w:val="09A24BBB"/>
    <w:rsid w:val="0C081D6C"/>
    <w:rsid w:val="14397A0A"/>
    <w:rsid w:val="171D0077"/>
    <w:rsid w:val="1CBC12B2"/>
    <w:rsid w:val="1D237867"/>
    <w:rsid w:val="1D716A40"/>
    <w:rsid w:val="21425DDF"/>
    <w:rsid w:val="215B4D50"/>
    <w:rsid w:val="2E4739D5"/>
    <w:rsid w:val="2E931F2B"/>
    <w:rsid w:val="2EE8797C"/>
    <w:rsid w:val="3018591C"/>
    <w:rsid w:val="318341B7"/>
    <w:rsid w:val="32C43AE0"/>
    <w:rsid w:val="36EB1D6B"/>
    <w:rsid w:val="37EF6DCD"/>
    <w:rsid w:val="439415B0"/>
    <w:rsid w:val="47F869DF"/>
    <w:rsid w:val="4BFF26A2"/>
    <w:rsid w:val="4E60359D"/>
    <w:rsid w:val="4F3205C3"/>
    <w:rsid w:val="51820043"/>
    <w:rsid w:val="52844054"/>
    <w:rsid w:val="53614C85"/>
    <w:rsid w:val="569D15D3"/>
    <w:rsid w:val="56FB22F4"/>
    <w:rsid w:val="5C337DB8"/>
    <w:rsid w:val="5F1945CA"/>
    <w:rsid w:val="60804673"/>
    <w:rsid w:val="67495A23"/>
    <w:rsid w:val="68751821"/>
    <w:rsid w:val="6AC31ADD"/>
    <w:rsid w:val="6BEF2D4A"/>
    <w:rsid w:val="6FF52007"/>
    <w:rsid w:val="7055738A"/>
    <w:rsid w:val="72127802"/>
    <w:rsid w:val="72767FA8"/>
    <w:rsid w:val="72EA1EE7"/>
    <w:rsid w:val="751077A2"/>
    <w:rsid w:val="78A535D1"/>
    <w:rsid w:val="7A74088F"/>
    <w:rsid w:val="7DB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2020-08-10T01:54:00Z</dcterms:created>
  <dc:creator>Administrator</dc:creator>
  <cp:lastModifiedBy>跳梁小丑丶</cp:lastModifiedBy>
  <cp:lastPrinted>2020-08-12T07:08:00Z</cp:lastPrinted>
  <dcterms:modified xsi:type="dcterms:W3CDTF">2020-08-13T03:24:23Z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